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05826" w14:textId="632FF5F2" w:rsidR="00185AC9" w:rsidRDefault="00185AC9" w:rsidP="00185A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 Pend Oreille County Republicans</w:t>
      </w:r>
    </w:p>
    <w:p w14:paraId="31D87717" w14:textId="2C955AFD" w:rsidR="00E549CD" w:rsidRDefault="00933B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Plank #12 – Campaign Finance Reform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AE3DB3" w:rsidRPr="00AE3DB3">
        <w:rPr>
          <w:i/>
          <w:iCs/>
          <w:color w:val="FF0000"/>
          <w:sz w:val="20"/>
          <w:szCs w:val="20"/>
        </w:rPr>
        <w:t>Revised 3/24/2024</w:t>
      </w:r>
    </w:p>
    <w:p w14:paraId="14F3F9F5" w14:textId="1B3BCABA" w:rsidR="00933B82" w:rsidRDefault="00933B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Money is the lifeblood of politics.</w:t>
      </w:r>
    </w:p>
    <w:p w14:paraId="71908008" w14:textId="069DBD03" w:rsidR="00933B82" w:rsidRPr="00BF60E8" w:rsidRDefault="00933B82">
      <w:pPr>
        <w:rPr>
          <w:b/>
          <w:bCs/>
          <w:sz w:val="28"/>
          <w:szCs w:val="28"/>
        </w:rPr>
      </w:pPr>
      <w:r w:rsidRPr="00BF60E8">
        <w:rPr>
          <w:b/>
          <w:bCs/>
          <w:sz w:val="28"/>
          <w:szCs w:val="28"/>
        </w:rPr>
        <w:t>We believe;</w:t>
      </w:r>
    </w:p>
    <w:p w14:paraId="2BF89A6F" w14:textId="5D6D6D37" w:rsidR="00933B82" w:rsidRPr="00BF60E8" w:rsidRDefault="00933B82" w:rsidP="000A4AF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60E8">
        <w:rPr>
          <w:sz w:val="24"/>
          <w:szCs w:val="24"/>
        </w:rPr>
        <w:t xml:space="preserve">In full disclosure and easy access to the records and amounts and sources of all campaign </w:t>
      </w:r>
      <w:r w:rsidR="00A02317" w:rsidRPr="00BF60E8">
        <w:rPr>
          <w:sz w:val="24"/>
          <w:szCs w:val="24"/>
        </w:rPr>
        <w:t xml:space="preserve">funding or contributions </w:t>
      </w:r>
      <w:r w:rsidRPr="00BF60E8">
        <w:rPr>
          <w:sz w:val="24"/>
          <w:szCs w:val="24"/>
        </w:rPr>
        <w:t>without infringement by any state or federal government laws or requiring FOIA request.</w:t>
      </w:r>
    </w:p>
    <w:p w14:paraId="53D2ED37" w14:textId="0DCEFC52" w:rsidR="00933B82" w:rsidRPr="00BF60E8" w:rsidRDefault="00933B82" w:rsidP="000A4AF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60E8">
        <w:rPr>
          <w:sz w:val="24"/>
          <w:szCs w:val="24"/>
        </w:rPr>
        <w:t>All funding from traditional, political action committees (PAC) and business must be subject to strict reporting rules and complete transparency through public disclosure compliance (PDC).</w:t>
      </w:r>
    </w:p>
    <w:p w14:paraId="09FA72A6" w14:textId="628F1629" w:rsidR="00462C0E" w:rsidRPr="00BF60E8" w:rsidRDefault="00462C0E" w:rsidP="000A4AF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60E8">
        <w:rPr>
          <w:sz w:val="24"/>
          <w:szCs w:val="24"/>
        </w:rPr>
        <w:t>The PDC committee of the state should be a</w:t>
      </w:r>
      <w:r w:rsidR="00BF60E8" w:rsidRPr="00BF60E8">
        <w:rPr>
          <w:sz w:val="24"/>
          <w:szCs w:val="24"/>
        </w:rPr>
        <w:t>n</w:t>
      </w:r>
      <w:r w:rsidRPr="00BF60E8">
        <w:rPr>
          <w:sz w:val="24"/>
          <w:szCs w:val="24"/>
        </w:rPr>
        <w:t xml:space="preserve"> equally staffed bi-partisan administrative committee appointed by the majority and minor legislative leaders of the state Senate and House.</w:t>
      </w:r>
    </w:p>
    <w:p w14:paraId="52CD5872" w14:textId="0FED8861" w:rsidR="00933B82" w:rsidRPr="00BF60E8" w:rsidRDefault="00933B82">
      <w:pPr>
        <w:rPr>
          <w:b/>
          <w:bCs/>
          <w:sz w:val="28"/>
          <w:szCs w:val="28"/>
        </w:rPr>
      </w:pPr>
      <w:r w:rsidRPr="00BF60E8">
        <w:rPr>
          <w:b/>
          <w:bCs/>
          <w:sz w:val="28"/>
          <w:szCs w:val="28"/>
        </w:rPr>
        <w:t>We oppose;</w:t>
      </w:r>
    </w:p>
    <w:p w14:paraId="7BF7BAC4" w14:textId="2B4CDCE0" w:rsidR="00933B82" w:rsidRPr="00BF60E8" w:rsidRDefault="00462C0E" w:rsidP="000A4AF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F60E8">
        <w:rPr>
          <w:sz w:val="24"/>
          <w:szCs w:val="24"/>
        </w:rPr>
        <w:t>Campaign reform that restricts free speech.</w:t>
      </w:r>
    </w:p>
    <w:p w14:paraId="4E3F941B" w14:textId="5E20B5E3" w:rsidR="00462C0E" w:rsidRPr="00BF60E8" w:rsidRDefault="00462C0E" w:rsidP="000A4AF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F60E8">
        <w:rPr>
          <w:sz w:val="24"/>
          <w:szCs w:val="24"/>
        </w:rPr>
        <w:t>Infringes or prohibits the right to open, public review of the voting records or positions of public office.</w:t>
      </w:r>
    </w:p>
    <w:p w14:paraId="3F4E1986" w14:textId="672A136A" w:rsidR="00462C0E" w:rsidRPr="00BF60E8" w:rsidRDefault="00462C0E" w:rsidP="000A4AF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F60E8">
        <w:rPr>
          <w:sz w:val="24"/>
          <w:szCs w:val="24"/>
        </w:rPr>
        <w:t xml:space="preserve">Limits on the individual or political action committee campaign donations. </w:t>
      </w:r>
    </w:p>
    <w:p w14:paraId="54D73DEC" w14:textId="77777777" w:rsidR="00933B82" w:rsidRDefault="00933B82">
      <w:pPr>
        <w:rPr>
          <w:sz w:val="24"/>
          <w:szCs w:val="24"/>
        </w:rPr>
      </w:pPr>
    </w:p>
    <w:p w14:paraId="651DA132" w14:textId="77777777" w:rsidR="00933B82" w:rsidRPr="00933B82" w:rsidRDefault="00933B82">
      <w:pPr>
        <w:rPr>
          <w:sz w:val="24"/>
          <w:szCs w:val="24"/>
        </w:rPr>
      </w:pPr>
    </w:p>
    <w:sectPr w:rsidR="00933B82" w:rsidRPr="00933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07B99"/>
    <w:multiLevelType w:val="hybridMultilevel"/>
    <w:tmpl w:val="018A6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043E4"/>
    <w:multiLevelType w:val="hybridMultilevel"/>
    <w:tmpl w:val="A8728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473570">
    <w:abstractNumId w:val="1"/>
  </w:num>
  <w:num w:numId="2" w16cid:durableId="317462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82"/>
    <w:rsid w:val="000A4AF5"/>
    <w:rsid w:val="00185AC9"/>
    <w:rsid w:val="00462C0E"/>
    <w:rsid w:val="00933B82"/>
    <w:rsid w:val="00A02317"/>
    <w:rsid w:val="00AE3DB3"/>
    <w:rsid w:val="00BF60E8"/>
    <w:rsid w:val="00E5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037FA"/>
  <w15:chartTrackingRefBased/>
  <w15:docId w15:val="{4F7D330D-839E-4242-9534-DFF47023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Deilke</dc:creator>
  <cp:keywords/>
  <dc:description/>
  <cp:lastModifiedBy>William Deilke</cp:lastModifiedBy>
  <cp:revision>5</cp:revision>
  <dcterms:created xsi:type="dcterms:W3CDTF">2024-03-04T22:28:00Z</dcterms:created>
  <dcterms:modified xsi:type="dcterms:W3CDTF">2024-03-26T04:06:00Z</dcterms:modified>
</cp:coreProperties>
</file>